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231F20"/>
          <w:kern w:val="0"/>
          <w:sz w:val="30"/>
          <w:szCs w:val="30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231F20"/>
          <w:kern w:val="0"/>
          <w:sz w:val="30"/>
          <w:szCs w:val="30"/>
          <w:lang w:val="en-US" w:eastAsia="zh-CN" w:bidi="ar"/>
        </w:rPr>
        <w:t>马德里康普顿斯大学</w:t>
      </w:r>
      <w:r>
        <w:rPr>
          <w:rFonts w:hint="eastAsia" w:ascii="宋体" w:hAnsi="宋体" w:eastAsia="宋体" w:cs="宋体"/>
          <w:b/>
          <w:bCs/>
          <w:color w:val="231F20"/>
          <w:kern w:val="0"/>
          <w:sz w:val="30"/>
          <w:szCs w:val="30"/>
          <w:lang w:val="en-US" w:eastAsia="zh-Hans" w:bidi="ar"/>
        </w:rPr>
        <w:t>交换</w:t>
      </w:r>
      <w:r>
        <w:rPr>
          <w:rFonts w:hint="default" w:ascii="宋体" w:hAnsi="宋体" w:eastAsia="宋体" w:cs="宋体"/>
          <w:b/>
          <w:bCs/>
          <w:color w:val="231F20"/>
          <w:kern w:val="0"/>
          <w:sz w:val="30"/>
          <w:szCs w:val="30"/>
          <w:lang w:eastAsia="zh-Hans" w:bidi="ar"/>
        </w:rPr>
        <w:t>/</w:t>
      </w:r>
      <w:r>
        <w:rPr>
          <w:rFonts w:hint="eastAsia" w:ascii="宋体" w:hAnsi="宋体" w:eastAsia="宋体" w:cs="宋体"/>
          <w:b/>
          <w:bCs/>
          <w:color w:val="231F20"/>
          <w:kern w:val="0"/>
          <w:sz w:val="30"/>
          <w:szCs w:val="30"/>
          <w:lang w:val="en-US" w:eastAsia="zh-Hans" w:bidi="ar"/>
        </w:rPr>
        <w:t>本硕项目简介</w:t>
      </w:r>
    </w:p>
    <w:p>
      <w:pPr>
        <w:spacing w:before="240"/>
        <w:rPr>
          <w:rFonts w:hint="default" w:ascii="Arial" w:hAnsi="Arial" w:eastAsia="宋体"/>
          <w:b/>
          <w:bCs/>
          <w:szCs w:val="21"/>
          <w:lang w:val="en-US" w:eastAsia="zh-CN"/>
        </w:rPr>
      </w:pPr>
      <w:r>
        <w:rPr>
          <w:rFonts w:hint="eastAsia" w:ascii="Arial" w:hAnsi="Arial" w:eastAsia="宋体"/>
          <w:b/>
          <w:bCs/>
          <w:szCs w:val="21"/>
          <w:lang w:val="en-US" w:eastAsia="zh-CN"/>
        </w:rPr>
        <w:t>学校背景介绍</w:t>
      </w:r>
    </w:p>
    <w:p>
      <w:pPr>
        <w:spacing w:before="240"/>
        <w:ind w:firstLine="424" w:firstLineChars="202"/>
        <w:rPr>
          <w:rFonts w:hint="eastAsia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马德里康普顿斯大学建校于 1499 年，是欧洲历史最悠久的大学之一。马德里康普顿斯大学是西班牙综合排名第一的公立大学，也是西班牙规模最庞大、科系最完整的综合性大学。马德里康普顿斯大学位于首都马德里市 区占地面积为 220 万平方米，共有三个校区，分别为蒙克洛亚（Moncloa）校区，索莫思阿格斯（Somosaguas）校区及阿兰胡埃斯（Aranjuez）校区</w:t>
      </w:r>
    </w:p>
    <w:p>
      <w:pPr>
        <w:spacing w:before="240"/>
        <w:ind w:firstLine="424" w:firstLineChars="202"/>
        <w:rPr>
          <w:rFonts w:hint="eastAsia" w:ascii="Arial" w:hAnsi="Arial" w:eastAsia="宋体"/>
          <w:szCs w:val="21"/>
        </w:rPr>
      </w:pPr>
      <w:r>
        <w:rPr>
          <w:rFonts w:hint="eastAsia" w:ascii="Arial" w:hAnsi="Arial" w:eastAsia="宋体"/>
          <w:szCs w:val="21"/>
          <w:lang w:val="en-US" w:eastAsia="zh-CN"/>
        </w:rPr>
        <w:t>康普顿斯大学在 2019 年 QS 全球排名中列于第 206 位。其地理位置优越，师资力量雄厚，其优质的教育水平享誉全球。曾培养出 7 位诺贝尔奖获得者，前任西班牙国王胡安卡洛斯一世、现任王后莱提齐亚及众多国内外知名学者、政治家等均曾就读于此。大学各学科实力均衡，基本都排名在世界前 200 位，部分学科列于全球 50 强。尤其在文科教育领域，新闻领域，医学领域，历史领域等处于领先地位。</w:t>
      </w:r>
    </w:p>
    <w:p>
      <w:pPr>
        <w:spacing w:before="240"/>
        <w:rPr>
          <w:rFonts w:hint="eastAsia" w:ascii="Arial" w:hAnsi="Arial" w:eastAsia="宋体"/>
          <w:b/>
          <w:bCs/>
          <w:szCs w:val="21"/>
          <w:lang w:val="en-US" w:eastAsia="zh-CN"/>
        </w:rPr>
      </w:pPr>
      <w:r>
        <w:rPr>
          <w:rFonts w:hint="eastAsia" w:ascii="Arial" w:hAnsi="Arial" w:eastAsia="宋体"/>
          <w:b/>
          <w:bCs/>
          <w:szCs w:val="21"/>
          <w:lang w:val="en-US" w:eastAsia="zh-CN"/>
        </w:rPr>
        <w:t>西班牙康普顿斯大学项目介绍</w:t>
      </w:r>
    </w:p>
    <w:p>
      <w:pPr>
        <w:spacing w:before="240"/>
        <w:ind w:firstLine="424" w:firstLineChars="202"/>
        <w:rPr>
          <w:rFonts w:hint="default" w:ascii="Arial" w:hAnsi="Arial" w:eastAsia="宋体"/>
          <w:szCs w:val="21"/>
          <w:lang w:val="en-US" w:eastAsia="zh-Hans"/>
        </w:rPr>
      </w:pPr>
      <w:r>
        <w:rPr>
          <w:rFonts w:hint="eastAsia" w:ascii="Arial" w:hAnsi="Arial" w:eastAsia="宋体"/>
          <w:szCs w:val="21"/>
          <w:lang w:val="en-US" w:eastAsia="zh-Hans"/>
        </w:rPr>
        <w:t>我校于</w:t>
      </w:r>
      <w:r>
        <w:rPr>
          <w:rFonts w:hint="default" w:ascii="Arial" w:hAnsi="Arial" w:eastAsia="宋体"/>
          <w:szCs w:val="21"/>
          <w:lang w:eastAsia="zh-Hans"/>
        </w:rPr>
        <w:t>2020</w:t>
      </w:r>
      <w:r>
        <w:rPr>
          <w:rFonts w:hint="eastAsia" w:ascii="Arial" w:hAnsi="Arial" w:eastAsia="宋体"/>
          <w:szCs w:val="21"/>
          <w:lang w:val="en-US" w:eastAsia="zh-Hans"/>
        </w:rPr>
        <w:t>年</w:t>
      </w:r>
      <w:r>
        <w:rPr>
          <w:rFonts w:hint="default" w:ascii="Arial" w:hAnsi="Arial" w:eastAsia="宋体"/>
          <w:szCs w:val="21"/>
          <w:lang w:eastAsia="zh-Hans"/>
        </w:rPr>
        <w:t>7</w:t>
      </w:r>
      <w:r>
        <w:rPr>
          <w:rFonts w:hint="eastAsia" w:ascii="Arial" w:hAnsi="Arial" w:eastAsia="宋体"/>
          <w:szCs w:val="21"/>
          <w:lang w:val="en-US" w:eastAsia="zh-Hans"/>
        </w:rPr>
        <w:t>月与西班牙马德里康普顿斯大学签署校级合作协议,共同开展校内学生交流交换项目,以及本硕语言预科项目,详细项目信息如下:</w:t>
      </w:r>
    </w:p>
    <w:p>
      <w:pPr>
        <w:numPr>
          <w:ilvl w:val="0"/>
          <w:numId w:val="1"/>
        </w:numPr>
        <w:spacing w:before="240"/>
        <w:rPr>
          <w:rFonts w:hint="eastAsia" w:ascii="Arial" w:hAnsi="Arial" w:eastAsia="宋体"/>
          <w:b/>
          <w:bCs/>
          <w:szCs w:val="21"/>
          <w:lang w:val="en-US" w:eastAsia="zh-CN"/>
        </w:rPr>
      </w:pPr>
      <w:r>
        <w:rPr>
          <w:rFonts w:hint="eastAsia" w:ascii="Arial" w:hAnsi="Arial" w:eastAsia="宋体"/>
          <w:b/>
          <w:bCs/>
          <w:szCs w:val="21"/>
          <w:lang w:val="en-US" w:eastAsia="zh-CN"/>
        </w:rPr>
        <w:t>本科交换生项目</w:t>
      </w:r>
    </w:p>
    <w:p>
      <w:pPr>
        <w:numPr>
          <w:ilvl w:val="0"/>
          <w:numId w:val="0"/>
        </w:numPr>
        <w:spacing w:before="240"/>
        <w:ind w:firstLine="420" w:firstLineChars="200"/>
        <w:rPr>
          <w:rFonts w:hint="default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学生参加马德里康普顿斯大学交换生项目</w:t>
      </w:r>
      <w:r>
        <w:rPr>
          <w:rFonts w:hint="eastAsia" w:ascii="Arial" w:hAnsi="Arial" w:eastAsia="宋体"/>
          <w:szCs w:val="21"/>
          <w:lang w:val="en-US" w:eastAsia="zh-Hans"/>
        </w:rPr>
        <w:t>(</w:t>
      </w:r>
      <w:r>
        <w:rPr>
          <w:rFonts w:hint="eastAsia" w:ascii="Arial" w:hAnsi="Arial" w:eastAsia="宋体"/>
          <w:szCs w:val="21"/>
          <w:lang w:val="en-US" w:eastAsia="zh-CN"/>
        </w:rPr>
        <w:t>一学年</w:t>
      </w:r>
      <w:r>
        <w:rPr>
          <w:rFonts w:hint="eastAsia" w:ascii="Arial" w:hAnsi="Arial" w:eastAsia="宋体"/>
          <w:szCs w:val="21"/>
          <w:lang w:val="en-US" w:eastAsia="zh-Hans"/>
        </w:rPr>
        <w:t>)</w:t>
      </w:r>
      <w:r>
        <w:rPr>
          <w:rFonts w:hint="eastAsia" w:ascii="Arial" w:hAnsi="Arial" w:eastAsia="宋体"/>
          <w:szCs w:val="21"/>
          <w:lang w:val="en-US" w:eastAsia="zh-CN"/>
        </w:rPr>
        <w:t>，每学期至少完成</w:t>
      </w:r>
      <w:r>
        <w:rPr>
          <w:rFonts w:hint="eastAsia" w:ascii="Arial" w:hAnsi="Arial" w:eastAsia="宋体"/>
          <w:szCs w:val="21"/>
          <w:lang w:val="en-US" w:eastAsia="zh-Hans"/>
        </w:rPr>
        <w:t>两</w:t>
      </w:r>
      <w:r>
        <w:rPr>
          <w:rFonts w:hint="eastAsia" w:ascii="Arial" w:hAnsi="Arial" w:eastAsia="宋体"/>
          <w:szCs w:val="21"/>
          <w:lang w:val="en-US" w:eastAsia="zh-CN"/>
        </w:rPr>
        <w:t>门专业课学习，回国之后进行学分</w:t>
      </w:r>
      <w:r>
        <w:rPr>
          <w:rFonts w:hint="eastAsia" w:ascii="Arial" w:hAnsi="Arial" w:eastAsia="宋体"/>
          <w:szCs w:val="21"/>
          <w:lang w:val="en-US" w:eastAsia="zh-Hans"/>
        </w:rPr>
        <w:t>整体</w:t>
      </w:r>
      <w:r>
        <w:rPr>
          <w:rFonts w:hint="eastAsia" w:ascii="Arial" w:hAnsi="Arial" w:eastAsia="宋体"/>
          <w:szCs w:val="21"/>
          <w:lang w:val="en-US" w:eastAsia="zh-CN"/>
        </w:rPr>
        <w:t>认证；</w:t>
      </w:r>
    </w:p>
    <w:p>
      <w:pPr>
        <w:numPr>
          <w:ilvl w:val="0"/>
          <w:numId w:val="0"/>
        </w:numPr>
        <w:spacing w:before="240"/>
        <w:rPr>
          <w:rFonts w:hint="default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招生要求：大二、大三、大四在读学生，均分75分以上，雅思6.0或西班牙B1水平；</w:t>
      </w:r>
    </w:p>
    <w:p>
      <w:pPr>
        <w:spacing w:before="240"/>
        <w:rPr>
          <w:rFonts w:hint="default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招生学院：</w:t>
      </w:r>
      <w:r>
        <w:rPr>
          <w:rFonts w:hint="default" w:ascii="Arial" w:hAnsi="Arial" w:eastAsia="宋体"/>
          <w:szCs w:val="21"/>
          <w:lang w:val="en-US" w:eastAsia="zh-CN"/>
        </w:rPr>
        <w:t>计算机学院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软件工程学院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网络空间安全学院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管理学院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物流学院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商学院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文化艺术学院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外国语学院</w:t>
      </w:r>
      <w:r>
        <w:rPr>
          <w:rFonts w:hint="eastAsia" w:ascii="Arial" w:hAnsi="Arial" w:eastAsia="宋体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before="240"/>
        <w:rPr>
          <w:rFonts w:hint="eastAsia" w:ascii="Arial" w:hAnsi="Arial" w:eastAsia="宋体"/>
          <w:b/>
          <w:bCs/>
          <w:szCs w:val="21"/>
          <w:lang w:val="en-US" w:eastAsia="zh-CN"/>
        </w:rPr>
      </w:pPr>
      <w:r>
        <w:rPr>
          <w:rFonts w:hint="eastAsia" w:ascii="Arial" w:hAnsi="Arial" w:eastAsia="宋体"/>
          <w:b/>
          <w:bCs/>
          <w:szCs w:val="21"/>
          <w:lang w:val="en-US" w:eastAsia="zh-CN"/>
        </w:rPr>
        <w:t>二、语言预科课程项目</w:t>
      </w:r>
    </w:p>
    <w:p>
      <w:pPr>
        <w:numPr>
          <w:ilvl w:val="0"/>
          <w:numId w:val="0"/>
        </w:numPr>
        <w:spacing w:before="240"/>
        <w:ind w:firstLine="420" w:firstLineChars="200"/>
        <w:rPr>
          <w:rFonts w:hint="default" w:ascii="Arial" w:hAnsi="Arial" w:eastAsia="宋体"/>
          <w:szCs w:val="21"/>
          <w:lang w:val="en-US" w:eastAsia="zh-Hans"/>
        </w:rPr>
      </w:pPr>
      <w:r>
        <w:rPr>
          <w:rFonts w:hint="eastAsia" w:ascii="Arial" w:hAnsi="Arial" w:eastAsia="宋体"/>
          <w:szCs w:val="21"/>
          <w:lang w:val="en-US" w:eastAsia="zh-CN"/>
        </w:rPr>
        <w:t>学生大</w:t>
      </w:r>
      <w:r>
        <w:rPr>
          <w:rFonts w:hint="eastAsia" w:ascii="Arial" w:hAnsi="Arial" w:eastAsia="宋体"/>
          <w:szCs w:val="21"/>
          <w:lang w:val="en-US" w:eastAsia="zh-Hans"/>
        </w:rPr>
        <w:t>四第一学期</w:t>
      </w:r>
      <w:r>
        <w:rPr>
          <w:rFonts w:hint="eastAsia" w:ascii="Arial" w:hAnsi="Arial" w:eastAsia="宋体"/>
          <w:szCs w:val="21"/>
          <w:lang w:val="en-US" w:eastAsia="zh-CN"/>
        </w:rPr>
        <w:t>结束</w:t>
      </w:r>
      <w:r>
        <w:rPr>
          <w:rFonts w:hint="eastAsia" w:ascii="Arial" w:hAnsi="Arial" w:eastAsia="宋体"/>
          <w:szCs w:val="21"/>
          <w:lang w:val="en-US" w:eastAsia="zh-Hans"/>
        </w:rPr>
        <w:t>后</w:t>
      </w:r>
      <w:r>
        <w:rPr>
          <w:rFonts w:hint="eastAsia" w:ascii="Arial" w:hAnsi="Arial" w:eastAsia="宋体"/>
          <w:szCs w:val="21"/>
          <w:lang w:val="en-US" w:eastAsia="zh-CN"/>
        </w:rPr>
        <w:t>，大四</w:t>
      </w:r>
      <w:r>
        <w:rPr>
          <w:rFonts w:hint="eastAsia" w:ascii="Arial" w:hAnsi="Arial" w:eastAsia="宋体"/>
          <w:szCs w:val="21"/>
          <w:lang w:val="en-US" w:eastAsia="zh-Hans"/>
        </w:rPr>
        <w:t>下学期</w:t>
      </w:r>
      <w:r>
        <w:rPr>
          <w:rFonts w:hint="eastAsia" w:ascii="Arial" w:hAnsi="Arial" w:eastAsia="宋体"/>
          <w:szCs w:val="21"/>
          <w:lang w:val="en-US" w:eastAsia="zh-CN"/>
        </w:rPr>
        <w:t>在马德里康普顿斯大学西班牙语言预科课程学习，完成语言B2学习之后，直接在西班牙申请</w:t>
      </w:r>
      <w:r>
        <w:rPr>
          <w:rFonts w:hint="eastAsia" w:ascii="Arial" w:hAnsi="Arial" w:eastAsia="宋体"/>
          <w:szCs w:val="21"/>
          <w:lang w:val="en-US" w:eastAsia="zh-Hans"/>
        </w:rPr>
        <w:t>硕士</w:t>
      </w:r>
      <w:r>
        <w:rPr>
          <w:rFonts w:hint="eastAsia" w:ascii="Arial" w:hAnsi="Arial" w:eastAsia="宋体"/>
          <w:szCs w:val="21"/>
          <w:lang w:val="en-US" w:eastAsia="zh-CN"/>
        </w:rPr>
        <w:t>，可以直接申请康普顿斯大学，也可以申请西班牙其他大学。</w:t>
      </w:r>
      <w:r>
        <w:rPr>
          <w:rFonts w:hint="eastAsia" w:ascii="Arial" w:hAnsi="Arial" w:eastAsia="宋体"/>
          <w:szCs w:val="21"/>
          <w:lang w:val="en-US" w:eastAsia="zh-Hans"/>
        </w:rPr>
        <w:t>期间,完成我校本科毕业论文以及论文答辩,并取得我校本科毕业证以及学位证书.</w:t>
      </w:r>
    </w:p>
    <w:p>
      <w:pPr>
        <w:numPr>
          <w:ilvl w:val="0"/>
          <w:numId w:val="0"/>
        </w:numPr>
        <w:spacing w:before="240"/>
        <w:rPr>
          <w:rFonts w:hint="eastAsia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招生要求：本科结束有意愿申请西班牙硕士学习的学生</w:t>
      </w:r>
    </w:p>
    <w:p>
      <w:pPr>
        <w:numPr>
          <w:ilvl w:val="0"/>
          <w:numId w:val="0"/>
        </w:numPr>
        <w:spacing w:before="240"/>
        <w:rPr>
          <w:rFonts w:hint="default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招生学院：</w:t>
      </w:r>
      <w:r>
        <w:rPr>
          <w:rFonts w:hint="default" w:ascii="Arial" w:hAnsi="Arial" w:eastAsia="宋体"/>
          <w:szCs w:val="21"/>
          <w:lang w:val="en-US" w:eastAsia="zh-CN"/>
        </w:rPr>
        <w:t>计算机学院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软件工程学院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网络空间安全学院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管理学院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物流学院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商学院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文化艺术学院</w:t>
      </w:r>
      <w:r>
        <w:rPr>
          <w:rFonts w:hint="eastAsia" w:ascii="Arial" w:hAnsi="Arial" w:eastAsia="宋体"/>
          <w:szCs w:val="21"/>
          <w:lang w:val="en-US" w:eastAsia="zh-CN"/>
        </w:rPr>
        <w:t>、</w:t>
      </w:r>
      <w:r>
        <w:rPr>
          <w:rFonts w:hint="default" w:ascii="Arial" w:hAnsi="Arial" w:eastAsia="宋体"/>
          <w:szCs w:val="21"/>
          <w:lang w:val="en-US" w:eastAsia="zh-CN"/>
        </w:rPr>
        <w:t>外国语学院</w:t>
      </w:r>
      <w:r>
        <w:rPr>
          <w:rFonts w:hint="eastAsia" w:ascii="Arial" w:hAnsi="Arial" w:eastAsia="宋体"/>
          <w:szCs w:val="21"/>
          <w:lang w:val="en-US" w:eastAsia="zh-CN"/>
        </w:rPr>
        <w:t>等。</w:t>
      </w:r>
    </w:p>
    <w:p>
      <w:pPr>
        <w:spacing w:before="240"/>
        <w:rPr>
          <w:rFonts w:hint="eastAsia" w:ascii="Arial" w:hAnsi="Arial" w:eastAsia="宋体"/>
          <w:b/>
          <w:bCs/>
          <w:szCs w:val="21"/>
          <w:lang w:val="en-US" w:eastAsia="zh-CN"/>
        </w:rPr>
      </w:pPr>
      <w:r>
        <w:rPr>
          <w:rFonts w:hint="eastAsia" w:ascii="Arial" w:hAnsi="Arial" w:eastAsia="宋体"/>
          <w:b/>
          <w:bCs/>
          <w:szCs w:val="21"/>
          <w:lang w:val="en-US" w:eastAsia="zh-CN"/>
        </w:rPr>
        <w:t>西班牙项目优势</w:t>
      </w:r>
    </w:p>
    <w:p>
      <w:pPr>
        <w:pStyle w:val="4"/>
        <w:numPr>
          <w:ilvl w:val="0"/>
          <w:numId w:val="2"/>
        </w:numPr>
        <w:spacing w:before="240" w:after="0" w:line="240" w:lineRule="auto"/>
        <w:contextualSpacing w:val="0"/>
        <w:rPr>
          <w:rFonts w:ascii="Arial" w:hAnsi="Arial"/>
          <w:sz w:val="21"/>
          <w:szCs w:val="21"/>
          <w:highlight w:val="none"/>
          <w:lang w:eastAsia="zh-CN"/>
        </w:rPr>
      </w:pPr>
      <w:r>
        <w:rPr>
          <w:rFonts w:hint="eastAsia" w:ascii="Arial" w:hAnsi="Arial"/>
          <w:sz w:val="21"/>
          <w:szCs w:val="21"/>
          <w:lang w:val="en-US" w:eastAsia="zh-CN"/>
        </w:rPr>
        <w:t>校际合作项目，学分互认，完善的境外服务；</w:t>
      </w:r>
    </w:p>
    <w:p>
      <w:pPr>
        <w:pStyle w:val="4"/>
        <w:numPr>
          <w:ilvl w:val="0"/>
          <w:numId w:val="2"/>
        </w:numPr>
        <w:spacing w:before="240" w:after="0" w:line="240" w:lineRule="auto"/>
        <w:contextualSpacing w:val="0"/>
        <w:rPr>
          <w:rFonts w:ascii="Arial" w:hAnsi="Arial"/>
          <w:sz w:val="21"/>
          <w:szCs w:val="21"/>
          <w:highlight w:val="none"/>
          <w:lang w:eastAsia="zh-CN"/>
        </w:rPr>
      </w:pPr>
      <w:r>
        <w:rPr>
          <w:rFonts w:ascii="Arial" w:hAnsi="Arial"/>
          <w:sz w:val="21"/>
          <w:szCs w:val="21"/>
          <w:highlight w:val="none"/>
          <w:lang w:eastAsia="zh-CN"/>
        </w:rPr>
        <w:t>免学费，只需缴纳</w:t>
      </w:r>
      <w:r>
        <w:rPr>
          <w:rFonts w:hint="eastAsia" w:ascii="Arial" w:hAnsi="Arial"/>
          <w:sz w:val="21"/>
          <w:szCs w:val="21"/>
          <w:highlight w:val="none"/>
          <w:lang w:val="en-US" w:eastAsia="zh-CN"/>
        </w:rPr>
        <w:t>专业</w:t>
      </w:r>
      <w:r>
        <w:rPr>
          <w:rFonts w:ascii="Arial" w:hAnsi="Arial"/>
          <w:sz w:val="21"/>
          <w:szCs w:val="21"/>
          <w:highlight w:val="none"/>
          <w:lang w:eastAsia="zh-CN"/>
        </w:rPr>
        <w:t>注册费，生活花费低，性价比极高</w:t>
      </w:r>
      <w:r>
        <w:rPr>
          <w:rFonts w:hint="eastAsia" w:ascii="Arial" w:hAnsi="Arial"/>
          <w:sz w:val="21"/>
          <w:szCs w:val="21"/>
          <w:highlight w:val="none"/>
          <w:lang w:eastAsia="zh-CN"/>
        </w:rPr>
        <w:t>；</w:t>
      </w:r>
    </w:p>
    <w:p>
      <w:pPr>
        <w:pStyle w:val="4"/>
        <w:numPr>
          <w:ilvl w:val="0"/>
          <w:numId w:val="2"/>
        </w:numPr>
        <w:spacing w:before="240" w:after="0" w:line="240" w:lineRule="auto"/>
        <w:contextualSpacing w:val="0"/>
        <w:rPr>
          <w:rFonts w:ascii="Arial" w:hAnsi="Arial"/>
          <w:sz w:val="21"/>
          <w:szCs w:val="21"/>
          <w:lang w:eastAsia="zh-CN"/>
        </w:rPr>
      </w:pPr>
      <w:r>
        <w:rPr>
          <w:rFonts w:hint="eastAsia" w:ascii="Arial" w:hAnsi="Arial"/>
          <w:sz w:val="21"/>
          <w:szCs w:val="21"/>
          <w:lang w:eastAsia="zh-CN"/>
        </w:rPr>
        <w:t>学</w:t>
      </w:r>
      <w:r>
        <w:rPr>
          <w:rFonts w:ascii="Arial" w:hAnsi="Arial"/>
          <w:sz w:val="21"/>
          <w:szCs w:val="21"/>
          <w:lang w:eastAsia="zh-CN"/>
        </w:rPr>
        <w:t>习世界第三大语言——西班牙语，专业+小语种，增长个人技能，提高就业竞争力</w:t>
      </w:r>
      <w:r>
        <w:rPr>
          <w:rFonts w:hint="eastAsia" w:ascii="Arial" w:hAnsi="Arial"/>
          <w:sz w:val="21"/>
          <w:szCs w:val="21"/>
          <w:lang w:eastAsia="zh-CN"/>
        </w:rPr>
        <w:t>；</w:t>
      </w:r>
    </w:p>
    <w:p>
      <w:pPr>
        <w:pStyle w:val="4"/>
        <w:numPr>
          <w:ilvl w:val="0"/>
          <w:numId w:val="2"/>
        </w:numPr>
        <w:spacing w:before="240" w:after="0" w:line="240" w:lineRule="auto"/>
        <w:contextualSpacing w:val="0"/>
        <w:rPr>
          <w:rFonts w:ascii="Arial" w:hAnsi="Arial"/>
          <w:sz w:val="21"/>
          <w:szCs w:val="21"/>
          <w:lang w:eastAsia="zh-CN"/>
        </w:rPr>
      </w:pPr>
      <w:r>
        <w:rPr>
          <w:rFonts w:hint="eastAsia" w:ascii="Arial" w:hAnsi="Arial"/>
          <w:sz w:val="21"/>
          <w:szCs w:val="21"/>
          <w:lang w:val="en-US" w:eastAsia="zh-CN"/>
        </w:rPr>
        <w:t>拓宽国际视野，背景提升，有利于硕士名校申请</w:t>
      </w:r>
      <w:r>
        <w:rPr>
          <w:rFonts w:hint="eastAsia" w:ascii="Arial" w:hAnsi="Arial"/>
          <w:sz w:val="21"/>
          <w:szCs w:val="21"/>
          <w:lang w:eastAsia="zh-CN"/>
        </w:rPr>
        <w:t>；</w:t>
      </w:r>
    </w:p>
    <w:p>
      <w:pPr>
        <w:pStyle w:val="4"/>
        <w:numPr>
          <w:ilvl w:val="0"/>
          <w:numId w:val="2"/>
        </w:numPr>
        <w:spacing w:before="240" w:after="0" w:line="240" w:lineRule="auto"/>
        <w:contextualSpacing w:val="0"/>
        <w:rPr>
          <w:rFonts w:ascii="Arial" w:hAnsi="Arial"/>
          <w:sz w:val="21"/>
          <w:szCs w:val="21"/>
          <w:lang w:eastAsia="zh-CN"/>
        </w:rPr>
      </w:pPr>
      <w:r>
        <w:rPr>
          <w:rFonts w:ascii="Arial" w:hAnsi="Arial"/>
          <w:sz w:val="21"/>
          <w:szCs w:val="21"/>
          <w:lang w:eastAsia="zh-CN"/>
        </w:rPr>
        <w:t>西班牙大学世界排名领先，30%的公立大学进入世界Top500，专业全面完整，</w:t>
      </w:r>
      <w:r>
        <w:rPr>
          <w:rFonts w:hint="eastAsia" w:ascii="Arial" w:hAnsi="Arial"/>
          <w:sz w:val="21"/>
          <w:szCs w:val="21"/>
          <w:lang w:eastAsia="zh-CN"/>
        </w:rPr>
        <w:t>学制短，西班牙</w:t>
      </w:r>
      <w:r>
        <w:rPr>
          <w:rFonts w:ascii="Arial" w:hAnsi="Arial"/>
          <w:sz w:val="21"/>
          <w:szCs w:val="21"/>
          <w:lang w:eastAsia="zh-CN"/>
        </w:rPr>
        <w:t>大部分硕士课程仅需一年</w:t>
      </w:r>
      <w:r>
        <w:rPr>
          <w:rFonts w:hint="eastAsia" w:ascii="Arial" w:hAnsi="Arial"/>
          <w:sz w:val="21"/>
          <w:szCs w:val="21"/>
          <w:lang w:eastAsia="zh-CN"/>
        </w:rPr>
        <w:t>，</w:t>
      </w:r>
      <w:r>
        <w:rPr>
          <w:rFonts w:ascii="Arial" w:hAnsi="Arial"/>
          <w:sz w:val="21"/>
          <w:szCs w:val="21"/>
          <w:lang w:eastAsia="zh-CN"/>
        </w:rPr>
        <w:t>节约时间成本</w:t>
      </w:r>
      <w:r>
        <w:rPr>
          <w:rFonts w:hint="eastAsia" w:ascii="Arial" w:hAnsi="Arial"/>
          <w:sz w:val="21"/>
          <w:szCs w:val="21"/>
          <w:lang w:eastAsia="zh-CN"/>
        </w:rPr>
        <w:t>；</w:t>
      </w:r>
    </w:p>
    <w:p>
      <w:pPr>
        <w:spacing w:before="240"/>
        <w:rPr>
          <w:rFonts w:hint="eastAsia" w:ascii="Arial" w:hAnsi="Arial" w:eastAsia="宋体"/>
          <w:b/>
          <w:bCs/>
          <w:szCs w:val="21"/>
          <w:lang w:val="en-US" w:eastAsia="zh-CN"/>
        </w:rPr>
      </w:pPr>
      <w:r>
        <w:rPr>
          <w:rFonts w:hint="eastAsia" w:ascii="Arial" w:hAnsi="Arial" w:eastAsia="宋体"/>
          <w:b/>
          <w:bCs/>
          <w:szCs w:val="21"/>
          <w:lang w:val="en-US" w:eastAsia="zh-CN"/>
        </w:rPr>
        <w:t>境外费用一览：</w:t>
      </w:r>
    </w:p>
    <w:p>
      <w:pPr>
        <w:numPr>
          <w:ilvl w:val="0"/>
          <w:numId w:val="3"/>
        </w:numPr>
        <w:spacing w:before="240"/>
        <w:ind w:left="420" w:leftChars="0" w:hanging="420" w:firstLineChars="0"/>
        <w:rPr>
          <w:rFonts w:hint="default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交换项目学费：前两门课共1100欧，每增加一门510欧；</w:t>
      </w:r>
      <w:r>
        <w:rPr>
          <w:rFonts w:hint="eastAsia" w:ascii="Arial" w:hAnsi="Arial" w:eastAsia="宋体"/>
          <w:szCs w:val="21"/>
          <w:lang w:val="en-US" w:eastAsia="zh-Hans"/>
        </w:rPr>
        <w:t>西班牙语言课课程</w:t>
      </w:r>
      <w:r>
        <w:rPr>
          <w:rFonts w:hint="default" w:ascii="Arial" w:hAnsi="Arial" w:eastAsia="宋体"/>
          <w:szCs w:val="21"/>
          <w:lang w:eastAsia="zh-Hans"/>
        </w:rPr>
        <w:t>2126</w:t>
      </w:r>
      <w:r>
        <w:rPr>
          <w:rFonts w:hint="eastAsia" w:ascii="Arial" w:hAnsi="Arial" w:eastAsia="宋体"/>
          <w:szCs w:val="21"/>
          <w:lang w:val="en-US" w:eastAsia="zh-Hans"/>
        </w:rPr>
        <w:t>欧元.</w:t>
      </w:r>
    </w:p>
    <w:p>
      <w:pPr>
        <w:numPr>
          <w:ilvl w:val="0"/>
          <w:numId w:val="3"/>
        </w:numPr>
        <w:spacing w:before="240"/>
        <w:ind w:left="420" w:leftChars="0" w:hanging="420" w:firstLineChars="0"/>
        <w:rPr>
          <w:rFonts w:hint="default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Hans"/>
        </w:rPr>
        <w:t>本硕</w:t>
      </w:r>
      <w:r>
        <w:rPr>
          <w:rFonts w:hint="eastAsia" w:ascii="Arial" w:hAnsi="Arial" w:eastAsia="宋体"/>
          <w:szCs w:val="21"/>
          <w:lang w:val="en-US" w:eastAsia="zh-CN"/>
        </w:rPr>
        <w:t>语言预科项目：</w:t>
      </w:r>
      <w:r>
        <w:rPr>
          <w:rFonts w:hint="default" w:ascii="Arial" w:hAnsi="Arial" w:eastAsia="宋体"/>
          <w:szCs w:val="21"/>
          <w:lang w:eastAsia="zh-CN"/>
        </w:rPr>
        <w:t>7500</w:t>
      </w:r>
      <w:r>
        <w:rPr>
          <w:rFonts w:hint="eastAsia" w:ascii="Arial" w:hAnsi="Arial" w:eastAsia="宋体"/>
          <w:szCs w:val="21"/>
          <w:lang w:val="en-US" w:eastAsia="zh-Hans"/>
        </w:rPr>
        <w:t>欧元</w:t>
      </w:r>
      <w:r>
        <w:rPr>
          <w:rFonts w:hint="default" w:ascii="Arial" w:hAnsi="Arial" w:eastAsia="宋体"/>
          <w:szCs w:val="21"/>
          <w:lang w:eastAsia="zh-Hans"/>
        </w:rPr>
        <w:t>/</w:t>
      </w:r>
      <w:r>
        <w:rPr>
          <w:rFonts w:hint="eastAsia" w:ascii="Arial" w:hAnsi="Arial" w:eastAsia="宋体"/>
          <w:szCs w:val="21"/>
          <w:lang w:val="en-US" w:eastAsia="zh-Hans"/>
        </w:rPr>
        <w:t>年</w:t>
      </w:r>
    </w:p>
    <w:p>
      <w:pPr>
        <w:spacing w:before="240"/>
        <w:rPr>
          <w:rFonts w:hint="eastAsia" w:ascii="Arial" w:hAnsi="Arial" w:eastAsia="宋体"/>
          <w:b/>
          <w:bCs/>
          <w:szCs w:val="21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spacing w:before="240" w:after="0" w:line="240" w:lineRule="auto"/>
        <w:ind w:leftChars="0"/>
        <w:rPr>
          <w:rFonts w:hint="default"/>
          <w:lang w:eastAsia="zh-Hans"/>
        </w:rPr>
      </w:pPr>
    </w:p>
    <w:p>
      <w:pPr>
        <w:pStyle w:val="4"/>
        <w:numPr>
          <w:ilvl w:val="0"/>
          <w:numId w:val="0"/>
        </w:numPr>
        <w:spacing w:before="240" w:after="0" w:line="240" w:lineRule="auto"/>
        <w:ind w:leftChars="0"/>
        <w:rPr>
          <w:rFonts w:hint="default"/>
          <w:lang w:eastAsia="zh-Hans"/>
        </w:rPr>
      </w:pPr>
    </w:p>
    <w:p>
      <w:pPr>
        <w:spacing w:before="240"/>
        <w:rPr>
          <w:rFonts w:hint="eastAsia" w:ascii="Arial" w:hAnsi="Arial" w:eastAsia="宋体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240"/>
        <w:jc w:val="both"/>
        <w:rPr>
          <w:rFonts w:hint="eastAsia" w:ascii="Arial" w:hAnsi="Arial" w:eastAsia="宋体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before="240"/>
        <w:jc w:val="both"/>
        <w:rPr>
          <w:rFonts w:hint="default" w:ascii="Arial" w:hAnsi="Arial" w:eastAsia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240"/>
        <w:ind w:leftChars="0"/>
        <w:rPr>
          <w:rFonts w:hint="default" w:ascii="Arial" w:hAnsi="Arial" w:eastAsia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240"/>
        <w:ind w:leftChars="0"/>
        <w:rPr>
          <w:rFonts w:hint="default" w:ascii="Arial" w:hAnsi="Arial" w:eastAsia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240"/>
        <w:ind w:leftChars="200"/>
        <w:rPr>
          <w:rFonts w:hint="default" w:ascii="Arial" w:hAnsi="Arial" w:eastAsia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D2DAF"/>
    <w:multiLevelType w:val="singleLevel"/>
    <w:tmpl w:val="FFFD2D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644696"/>
    <w:multiLevelType w:val="multilevel"/>
    <w:tmpl w:val="2B644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877F617"/>
    <w:multiLevelType w:val="singleLevel"/>
    <w:tmpl w:val="4877F61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TE1MzAwNjI4MGMxNzNjNDYwMzdjNjc5ODY4NDkifQ=="/>
  </w:docVars>
  <w:rsids>
    <w:rsidRoot w:val="00000000"/>
    <w:rsid w:val="00CE3367"/>
    <w:rsid w:val="035F160A"/>
    <w:rsid w:val="054F72A3"/>
    <w:rsid w:val="07052CA0"/>
    <w:rsid w:val="0AB94D0E"/>
    <w:rsid w:val="0B04478B"/>
    <w:rsid w:val="0B784434"/>
    <w:rsid w:val="0BFA54DE"/>
    <w:rsid w:val="0CD2197A"/>
    <w:rsid w:val="0CF83435"/>
    <w:rsid w:val="0DA71457"/>
    <w:rsid w:val="114A77ED"/>
    <w:rsid w:val="11CE64F7"/>
    <w:rsid w:val="128C1B65"/>
    <w:rsid w:val="140F1AE2"/>
    <w:rsid w:val="18E32873"/>
    <w:rsid w:val="1A450997"/>
    <w:rsid w:val="1A636F0A"/>
    <w:rsid w:val="1FF557AA"/>
    <w:rsid w:val="22212161"/>
    <w:rsid w:val="237E4097"/>
    <w:rsid w:val="252A76CB"/>
    <w:rsid w:val="29721178"/>
    <w:rsid w:val="298212F7"/>
    <w:rsid w:val="29EC7CEE"/>
    <w:rsid w:val="2C3B5615"/>
    <w:rsid w:val="2DA91853"/>
    <w:rsid w:val="2E1F5814"/>
    <w:rsid w:val="2F744564"/>
    <w:rsid w:val="2F8E6DCD"/>
    <w:rsid w:val="30CF2F9A"/>
    <w:rsid w:val="30D97041"/>
    <w:rsid w:val="3227115D"/>
    <w:rsid w:val="3354578F"/>
    <w:rsid w:val="35B52664"/>
    <w:rsid w:val="367B087A"/>
    <w:rsid w:val="3C110FFF"/>
    <w:rsid w:val="3CC77ED1"/>
    <w:rsid w:val="3ED7533E"/>
    <w:rsid w:val="3FCE5696"/>
    <w:rsid w:val="41454072"/>
    <w:rsid w:val="42053603"/>
    <w:rsid w:val="431B51EF"/>
    <w:rsid w:val="492B6F93"/>
    <w:rsid w:val="4A9D377F"/>
    <w:rsid w:val="4EBA3B26"/>
    <w:rsid w:val="4FCE2C38"/>
    <w:rsid w:val="5031189A"/>
    <w:rsid w:val="54AD21C9"/>
    <w:rsid w:val="55FFFB8D"/>
    <w:rsid w:val="57A03A73"/>
    <w:rsid w:val="59C469ED"/>
    <w:rsid w:val="5A9272F1"/>
    <w:rsid w:val="5B9260DA"/>
    <w:rsid w:val="5C3D0A79"/>
    <w:rsid w:val="5EC46F68"/>
    <w:rsid w:val="637708E7"/>
    <w:rsid w:val="65AC6341"/>
    <w:rsid w:val="660A2210"/>
    <w:rsid w:val="67DA55CF"/>
    <w:rsid w:val="68F66EB9"/>
    <w:rsid w:val="69C63E71"/>
    <w:rsid w:val="6C524DEE"/>
    <w:rsid w:val="6E4936F6"/>
    <w:rsid w:val="70BF2E78"/>
    <w:rsid w:val="728A628D"/>
    <w:rsid w:val="72CB3899"/>
    <w:rsid w:val="73EE1581"/>
    <w:rsid w:val="7506517B"/>
    <w:rsid w:val="76917920"/>
    <w:rsid w:val="77A1450F"/>
    <w:rsid w:val="77D146B5"/>
    <w:rsid w:val="7C2651AC"/>
    <w:rsid w:val="7EBF43C9"/>
    <w:rsid w:val="7EF2678E"/>
    <w:rsid w:val="7FF7BEA2"/>
    <w:rsid w:val="BDDB1F8A"/>
    <w:rsid w:val="BFDFB3F5"/>
    <w:rsid w:val="CBEF8DDD"/>
    <w:rsid w:val="DB7FC13E"/>
    <w:rsid w:val="DFF769F9"/>
    <w:rsid w:val="EFCFEEB9"/>
    <w:rsid w:val="F3FFB825"/>
    <w:rsid w:val="F7EE67A2"/>
    <w:rsid w:val="FDDFB7F0"/>
    <w:rsid w:val="FF672E23"/>
    <w:rsid w:val="FF9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1152</Characters>
  <Lines>0</Lines>
  <Paragraphs>0</Paragraphs>
  <TotalTime>16</TotalTime>
  <ScaleCrop>false</ScaleCrop>
  <LinksUpToDate>false</LinksUpToDate>
  <CharactersWithSpaces>1172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cc</dc:creator>
  <cp:lastModifiedBy>丁倩</cp:lastModifiedBy>
  <dcterms:modified xsi:type="dcterms:W3CDTF">2023-03-29T01:44:36Z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FA45DC871C9B4C2580ADCEDEDECBCCE6</vt:lpwstr>
  </property>
</Properties>
</file>